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ascii="仿宋_GB2312" w:hAnsi="仿宋_GB2312" w:eastAsia="仿宋_GB2312" w:cs="仿宋_GB2312"/>
          <w:bCs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:</w:t>
      </w:r>
    </w:p>
    <w:p>
      <w:pPr>
        <w:autoSpaceDE w:val="0"/>
        <w:autoSpaceDN w:val="0"/>
        <w:adjustRightInd w:val="0"/>
        <w:ind w:firstLine="640" w:firstLineChars="2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评价标准</w:t>
      </w:r>
    </w:p>
    <w:tbl>
      <w:tblPr>
        <w:tblStyle w:val="5"/>
        <w:tblW w:w="512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650"/>
        <w:gridCol w:w="6623"/>
        <w:gridCol w:w="11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评分内容</w:t>
            </w:r>
          </w:p>
        </w:tc>
        <w:tc>
          <w:tcPr>
            <w:tcW w:w="379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42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评分标准</w:t>
            </w:r>
          </w:p>
        </w:tc>
        <w:tc>
          <w:tcPr>
            <w:tcW w:w="5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eastAsia="zh-CN"/>
              </w:rPr>
              <w:t>价格分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分）</w:t>
            </w:r>
          </w:p>
        </w:tc>
        <w:tc>
          <w:tcPr>
            <w:tcW w:w="379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报价分采用低价优先法计算，即有效投标文件中的最低投标报价为评价基准价，其他投标人的价格分按照下列公式计算：（评价基准价/投标报价）*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0%*100</w:t>
            </w:r>
          </w:p>
        </w:tc>
        <w:tc>
          <w:tcPr>
            <w:tcW w:w="5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68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技术分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65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分）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项目理解及技术解决方案</w:t>
            </w:r>
          </w:p>
        </w:tc>
        <w:tc>
          <w:tcPr>
            <w:tcW w:w="30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对本项目背景的理解和分析是否到位，针对本项目技术解决方案具有实用性。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6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项目组织实施方案</w:t>
            </w:r>
          </w:p>
        </w:tc>
        <w:tc>
          <w:tcPr>
            <w:tcW w:w="30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本项目组织实施方案的先进性、完整性、可实施性，包括（但不限于）日常配送的具体方案与措施、运输与交接方案、现有物流信息查询平台情况、车辆安全保障制度等方面，且具有明确的服务质量保证目标、措施，以及整体方案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需求的响应符合程度。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6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项目人员情况</w:t>
            </w:r>
          </w:p>
        </w:tc>
        <w:tc>
          <w:tcPr>
            <w:tcW w:w="30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项目团队人员力量配备情况；拟建立的服务团队是否覆盖了所要求的范围，是否具有明确的职责分工，主要人员的专业、学历、工作经历、个人能力，并提供相关证明材料。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6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项目进度安排</w:t>
            </w:r>
          </w:p>
        </w:tc>
        <w:tc>
          <w:tcPr>
            <w:tcW w:w="30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对项目进度的安排是否科学、合理。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6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突发事件应急预案</w:t>
            </w:r>
          </w:p>
        </w:tc>
        <w:tc>
          <w:tcPr>
            <w:tcW w:w="30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是否建立运行服务保障应急预案，方案对于项目实施可能遇到的问题及其应对措施的考虑情况，是否具有合理性、有效性等。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优惠和承诺情况</w:t>
            </w:r>
          </w:p>
        </w:tc>
        <w:tc>
          <w:tcPr>
            <w:tcW w:w="30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提出的优惠条件和承诺情况，及其可实现程度等。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6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eastAsia="zh-CN"/>
              </w:rPr>
              <w:t>业绩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分）</w:t>
            </w:r>
          </w:p>
        </w:tc>
        <w:tc>
          <w:tcPr>
            <w:tcW w:w="379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具有类似项目成功经验，自201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年至今曾承担过的类似项目，以项目合同复印件或中标通知书复印件为准，并加盖公章每提供一个得1分，最高得5分。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xNDgxZWM5ZWEwN2MzMTdhNDA0MmE1NTYxMGY5ODUifQ=="/>
  </w:docVars>
  <w:rsids>
    <w:rsidRoot w:val="00570779"/>
    <w:rsid w:val="001C2466"/>
    <w:rsid w:val="00570779"/>
    <w:rsid w:val="006A363E"/>
    <w:rsid w:val="007B1131"/>
    <w:rsid w:val="008D4C2B"/>
    <w:rsid w:val="00A40259"/>
    <w:rsid w:val="04D86974"/>
    <w:rsid w:val="166B719C"/>
    <w:rsid w:val="28A74919"/>
    <w:rsid w:val="46FF71ED"/>
    <w:rsid w:val="647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??" w:cs="宋体"/>
      <w:b/>
      <w:kern w:val="36"/>
      <w:sz w:val="32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564</Characters>
  <Lines>3</Lines>
  <Paragraphs>1</Paragraphs>
  <TotalTime>23</TotalTime>
  <ScaleCrop>false</ScaleCrop>
  <LinksUpToDate>false</LinksUpToDate>
  <CharactersWithSpaces>564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2021-07-02T06:45:00Z</dcterms:created>
  <dc:creator>amidn</dc:creator>
  <cp:lastModifiedBy>Administrator</cp:lastModifiedBy>
  <dcterms:modified xsi:type="dcterms:W3CDTF">2023-01-19T09:18:07Z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4CF041B3419147EC9E6D7225DD9AB8F0</vt:lpwstr>
  </property>
</Properties>
</file>